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36"/>
                <w:lang w:val="en-US" w:eastAsia="en-US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 w:rsidTr="00087700">
        <w:trPr>
          <w:trHeight w:hRule="exact" w:val="998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37A95EE5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087700">
              <w:rPr>
                <w:rFonts w:ascii="Arial" w:hAnsi="Arial"/>
                <w:b/>
              </w:rPr>
              <w:t xml:space="preserve">1.0 mile, </w:t>
            </w:r>
            <w:proofErr w:type="spellStart"/>
            <w:r w:rsidR="00087700">
              <w:rPr>
                <w:rFonts w:ascii="Arial" w:hAnsi="Arial"/>
                <w:b/>
              </w:rPr>
              <w:t>Highridge</w:t>
            </w:r>
            <w:proofErr w:type="spellEnd"/>
            <w:r w:rsidR="00087700">
              <w:rPr>
                <w:rFonts w:ascii="Arial" w:hAnsi="Arial"/>
                <w:b/>
              </w:rPr>
              <w:t xml:space="preserve"> Road, Dundry Lane, Bristol</w:t>
            </w:r>
          </w:p>
        </w:tc>
        <w:tc>
          <w:tcPr>
            <w:tcW w:w="5103" w:type="dxa"/>
          </w:tcPr>
          <w:p w14:paraId="0AA9DB74" w14:textId="19326ED8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587F27">
              <w:rPr>
                <w:rFonts w:ascii="Arial" w:hAnsi="Arial"/>
                <w:b/>
              </w:rPr>
              <w:t>UH377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4B27598C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>/Review:</w:t>
            </w:r>
            <w:r w:rsidR="00CE5241">
              <w:rPr>
                <w:b/>
                <w:sz w:val="20"/>
              </w:rPr>
              <w:t xml:space="preserve"> December 2018</w:t>
            </w:r>
            <w:r w:rsidR="009E6E05">
              <w:rPr>
                <w:b/>
                <w:sz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5F654DBC" w14:textId="0E1DB445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587F27">
              <w:rPr>
                <w:rFonts w:ascii="Arial" w:hAnsi="Arial"/>
                <w:b/>
              </w:rPr>
              <w:t>David Braidley</w:t>
            </w:r>
          </w:p>
        </w:tc>
      </w:tr>
    </w:tbl>
    <w:p w14:paraId="33599239" w14:textId="62D8B0F5" w:rsidR="00647CA4" w:rsidRDefault="00647CA4">
      <w:pPr>
        <w:rPr>
          <w:rFonts w:ascii="Arial" w:hAnsi="Arial"/>
          <w:sz w:val="36"/>
        </w:rPr>
      </w:pP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27C86" w:rsidRPr="00087700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87700" w:rsidRDefault="00A84390" w:rsidP="00B27C86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8440476" w14:textId="421A9FE0" w:rsidR="00E10281" w:rsidRPr="00087700" w:rsidRDefault="00B27C86" w:rsidP="00E1028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7700">
              <w:rPr>
                <w:rFonts w:ascii="Arial" w:hAnsi="Arial"/>
                <w:b/>
                <w:sz w:val="22"/>
                <w:szCs w:val="22"/>
              </w:rPr>
              <w:t>Course D</w:t>
            </w:r>
            <w:r w:rsidR="00E10281" w:rsidRPr="00087700">
              <w:rPr>
                <w:rFonts w:ascii="Arial" w:hAnsi="Arial"/>
                <w:b/>
                <w:sz w:val="22"/>
                <w:szCs w:val="22"/>
              </w:rPr>
              <w:t>e</w:t>
            </w:r>
            <w:r w:rsidRPr="00087700">
              <w:rPr>
                <w:rFonts w:ascii="Arial" w:hAnsi="Arial"/>
                <w:b/>
                <w:sz w:val="22"/>
                <w:szCs w:val="22"/>
              </w:rPr>
              <w:t>scription:</w:t>
            </w:r>
            <w:r w:rsidR="00741F31" w:rsidRPr="00087700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="00335625" w:rsidRPr="0008770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Start at </w:t>
            </w:r>
            <w:r w:rsidR="00087700" w:rsidRPr="0008770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top of </w:t>
            </w:r>
            <w:proofErr w:type="spellStart"/>
            <w:r w:rsidR="00087700" w:rsidRPr="0008770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Highridge</w:t>
            </w:r>
            <w:proofErr w:type="spellEnd"/>
            <w:r w:rsidR="00087700" w:rsidRPr="0008770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Green in South Bristol, proceed up </w:t>
            </w:r>
            <w:proofErr w:type="spellStart"/>
            <w:r w:rsidR="00087700" w:rsidRPr="0008770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Highridge</w:t>
            </w:r>
            <w:proofErr w:type="spellEnd"/>
            <w:r w:rsidR="00087700" w:rsidRPr="0008770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road to the junction with Dundry Lane, turn left and continue through the village passing the church and graveyard.</w:t>
            </w:r>
          </w:p>
          <w:p w14:paraId="33264198" w14:textId="1CC40D6E" w:rsidR="00E10281" w:rsidRPr="00087700" w:rsidRDefault="00E10281" w:rsidP="00E1028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5CD240E" w14:textId="77777777" w:rsidR="00B27C86" w:rsidRPr="00087700" w:rsidRDefault="00B27C86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10DD2" w:rsidRPr="00087700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87700" w:rsidRDefault="00A8439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3A2D59E" w14:textId="3595F79D" w:rsidR="00A84390" w:rsidRPr="00087700" w:rsidRDefault="00622307" w:rsidP="00596BED">
            <w:pPr>
              <w:rPr>
                <w:rFonts w:ascii="Arial" w:hAnsi="Arial"/>
                <w:sz w:val="22"/>
                <w:szCs w:val="22"/>
              </w:rPr>
            </w:pPr>
            <w:r w:rsidRPr="00087700">
              <w:rPr>
                <w:rFonts w:ascii="Arial" w:hAnsi="Arial"/>
                <w:b/>
                <w:sz w:val="22"/>
                <w:szCs w:val="22"/>
              </w:rPr>
              <w:t>Traffic Flows:</w:t>
            </w:r>
            <w:r w:rsidRPr="00087700">
              <w:rPr>
                <w:rFonts w:ascii="Arial" w:hAnsi="Arial"/>
                <w:sz w:val="22"/>
                <w:szCs w:val="22"/>
              </w:rPr>
              <w:t xml:space="preserve"> </w:t>
            </w:r>
            <w:r w:rsidR="00087700" w:rsidRPr="00087700">
              <w:rPr>
                <w:rFonts w:ascii="Arial" w:hAnsi="Arial"/>
                <w:sz w:val="22"/>
                <w:szCs w:val="22"/>
              </w:rPr>
              <w:t>minimal; 1 or 2 cars per 10 minutes.</w:t>
            </w:r>
          </w:p>
          <w:p w14:paraId="347223B4" w14:textId="19D074F4" w:rsidR="00E10281" w:rsidRPr="00087700" w:rsidRDefault="00E10281" w:rsidP="00596BED">
            <w:pPr>
              <w:rPr>
                <w:rFonts w:ascii="Arial" w:hAnsi="Arial"/>
                <w:sz w:val="22"/>
                <w:szCs w:val="22"/>
              </w:rPr>
            </w:pPr>
          </w:p>
          <w:p w14:paraId="6D236FD5" w14:textId="77777777" w:rsidR="00E10281" w:rsidRPr="00087700" w:rsidRDefault="00E10281" w:rsidP="00596BED">
            <w:pPr>
              <w:rPr>
                <w:rFonts w:ascii="Arial" w:hAnsi="Arial"/>
                <w:sz w:val="22"/>
                <w:szCs w:val="22"/>
              </w:rPr>
            </w:pPr>
          </w:p>
          <w:p w14:paraId="38E9E10C" w14:textId="77777777" w:rsidR="00335625" w:rsidRPr="00087700" w:rsidRDefault="00335625" w:rsidP="00596BE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20C3844" w14:textId="77777777" w:rsidR="00D10DD2" w:rsidRPr="00087700" w:rsidRDefault="00D10DD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10DD2" w:rsidRPr="00087700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87700" w:rsidRDefault="00A8439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9AA1F56" w14:textId="5A190D2C" w:rsidR="00335625" w:rsidRPr="00087700" w:rsidRDefault="00622307" w:rsidP="00E10281">
            <w:pP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087700">
              <w:rPr>
                <w:rFonts w:ascii="Arial" w:hAnsi="Arial"/>
                <w:b/>
                <w:sz w:val="22"/>
                <w:szCs w:val="22"/>
              </w:rPr>
              <w:t>Course/Event History</w:t>
            </w:r>
            <w:r w:rsidR="00335625" w:rsidRPr="0008770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087700" w:rsidRPr="00087700">
              <w:rPr>
                <w:rFonts w:ascii="Arial" w:hAnsi="Arial"/>
                <w:sz w:val="22"/>
                <w:szCs w:val="22"/>
              </w:rPr>
              <w:t>Annual summer evening club hill-climb TT for ten years.</w:t>
            </w:r>
          </w:p>
          <w:p w14:paraId="6E81052C" w14:textId="77777777" w:rsidR="00DC6C62" w:rsidRDefault="00DC6C62" w:rsidP="00BC6450">
            <w:pP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91407E9" w14:textId="77777777" w:rsidR="00087700" w:rsidRPr="00087700" w:rsidRDefault="00087700" w:rsidP="00BC6450">
            <w:pP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6B06E81" w14:textId="77777777" w:rsidR="00D058EC" w:rsidRPr="00087700" w:rsidRDefault="00D058EC" w:rsidP="00596BE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 w:rsidTr="00087700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087700" w14:paraId="35471764" w14:textId="77777777" w:rsidTr="00087700">
        <w:trPr>
          <w:cantSplit/>
          <w:trHeight w:hRule="exact" w:val="1552"/>
          <w:jc w:val="center"/>
        </w:trPr>
        <w:tc>
          <w:tcPr>
            <w:tcW w:w="1101" w:type="dxa"/>
          </w:tcPr>
          <w:p w14:paraId="3B6F96D4" w14:textId="50854242" w:rsidR="00087700" w:rsidRPr="00087700" w:rsidRDefault="00087700" w:rsidP="00087700">
            <w:pPr>
              <w:rPr>
                <w:rFonts w:ascii="Arial" w:hAnsi="Arial"/>
                <w:sz w:val="22"/>
                <w:szCs w:val="22"/>
              </w:rPr>
            </w:pPr>
          </w:p>
          <w:p w14:paraId="1ED0EF9E" w14:textId="77777777" w:rsidR="00087700" w:rsidRPr="00087700" w:rsidRDefault="00087700" w:rsidP="00087700">
            <w:pPr>
              <w:rPr>
                <w:rFonts w:ascii="Arial" w:hAnsi="Arial"/>
                <w:sz w:val="22"/>
                <w:szCs w:val="22"/>
              </w:rPr>
            </w:pPr>
            <w:r w:rsidRPr="00087700">
              <w:rPr>
                <w:rFonts w:ascii="Arial" w:hAnsi="Arial"/>
                <w:sz w:val="22"/>
                <w:szCs w:val="22"/>
              </w:rPr>
              <w:t>0</w:t>
            </w:r>
          </w:p>
          <w:p w14:paraId="42FA0D0C" w14:textId="6BA11C8B" w:rsidR="00087700" w:rsidRPr="00087700" w:rsidRDefault="00087700" w:rsidP="00087700">
            <w:pPr>
              <w:rPr>
                <w:rFonts w:ascii="Arial" w:hAnsi="Arial"/>
                <w:sz w:val="22"/>
                <w:szCs w:val="22"/>
              </w:rPr>
            </w:pPr>
            <w:r w:rsidRPr="00087700">
              <w:rPr>
                <w:rFonts w:ascii="Arial" w:hAnsi="Arial"/>
                <w:sz w:val="22"/>
                <w:szCs w:val="22"/>
              </w:rPr>
              <w:t>miles</w:t>
            </w:r>
          </w:p>
        </w:tc>
        <w:tc>
          <w:tcPr>
            <w:tcW w:w="2409" w:type="dxa"/>
            <w:vAlign w:val="center"/>
          </w:tcPr>
          <w:p w14:paraId="7DDE9CE4" w14:textId="52B4D035" w:rsidR="00087700" w:rsidRPr="00087700" w:rsidRDefault="00087700" w:rsidP="00087700">
            <w:pPr>
              <w:rPr>
                <w:rFonts w:ascii="Arial" w:hAnsi="Arial"/>
                <w:b/>
                <w:sz w:val="22"/>
                <w:szCs w:val="22"/>
              </w:rPr>
            </w:pPr>
            <w:r w:rsidRPr="00087700">
              <w:rPr>
                <w:rFonts w:ascii="Arial" w:hAnsi="Arial"/>
                <w:sz w:val="22"/>
                <w:szCs w:val="22"/>
              </w:rPr>
              <w:t>Area of Start</w:t>
            </w:r>
          </w:p>
        </w:tc>
        <w:tc>
          <w:tcPr>
            <w:tcW w:w="2410" w:type="dxa"/>
            <w:vAlign w:val="center"/>
          </w:tcPr>
          <w:p w14:paraId="0A7077B6" w14:textId="7DA460C9" w:rsidR="00087700" w:rsidRPr="00087700" w:rsidRDefault="00087700" w:rsidP="00087700">
            <w:pPr>
              <w:rPr>
                <w:rFonts w:ascii="Arial" w:hAnsi="Arial"/>
                <w:sz w:val="22"/>
                <w:szCs w:val="22"/>
              </w:rPr>
            </w:pPr>
            <w:r w:rsidRPr="00087700">
              <w:rPr>
                <w:rFonts w:ascii="Arial" w:hAnsi="Arial"/>
                <w:sz w:val="22"/>
                <w:szCs w:val="22"/>
              </w:rPr>
              <w:t>Competitors waiting</w:t>
            </w:r>
          </w:p>
        </w:tc>
        <w:tc>
          <w:tcPr>
            <w:tcW w:w="1701" w:type="dxa"/>
            <w:vAlign w:val="center"/>
          </w:tcPr>
          <w:p w14:paraId="14E22256" w14:textId="2621EF90" w:rsidR="00087700" w:rsidRPr="00087700" w:rsidRDefault="00087700" w:rsidP="000877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87700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2799" w:type="dxa"/>
            <w:vAlign w:val="center"/>
          </w:tcPr>
          <w:p w14:paraId="75F4394C" w14:textId="7EF03A8E" w:rsidR="00087700" w:rsidRPr="00087700" w:rsidRDefault="00087700" w:rsidP="00087700">
            <w:pPr>
              <w:rPr>
                <w:rFonts w:ascii="Arial" w:hAnsi="Arial"/>
                <w:sz w:val="22"/>
                <w:szCs w:val="22"/>
              </w:rPr>
            </w:pPr>
            <w:r w:rsidRPr="00087700">
              <w:rPr>
                <w:rFonts w:ascii="Arial" w:hAnsi="Arial"/>
                <w:sz w:val="22"/>
                <w:szCs w:val="22"/>
              </w:rPr>
              <w:t>Cycle Event warning sign.</w:t>
            </w:r>
          </w:p>
        </w:tc>
      </w:tr>
      <w:tr w:rsidR="00087700" w14:paraId="70D9D995" w14:textId="77777777" w:rsidTr="00087700">
        <w:trPr>
          <w:cantSplit/>
          <w:trHeight w:hRule="exact" w:val="1546"/>
          <w:jc w:val="center"/>
        </w:trPr>
        <w:tc>
          <w:tcPr>
            <w:tcW w:w="1101" w:type="dxa"/>
          </w:tcPr>
          <w:p w14:paraId="035917B2" w14:textId="7A572600" w:rsidR="00087700" w:rsidRPr="00087700" w:rsidRDefault="00087700" w:rsidP="00087700">
            <w:pPr>
              <w:rPr>
                <w:rFonts w:ascii="Arial" w:hAnsi="Arial"/>
                <w:sz w:val="22"/>
                <w:szCs w:val="22"/>
              </w:rPr>
            </w:pPr>
          </w:p>
          <w:p w14:paraId="067CBC79" w14:textId="77777777" w:rsidR="00087700" w:rsidRDefault="00087700" w:rsidP="000877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0.54</w:t>
            </w:r>
          </w:p>
          <w:p w14:paraId="0BEEBC44" w14:textId="7C59C91B" w:rsidR="00087700" w:rsidRPr="00087700" w:rsidRDefault="00087700" w:rsidP="000877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miles</w:t>
            </w:r>
          </w:p>
        </w:tc>
        <w:tc>
          <w:tcPr>
            <w:tcW w:w="2409" w:type="dxa"/>
            <w:vAlign w:val="center"/>
          </w:tcPr>
          <w:p w14:paraId="3E6B4480" w14:textId="61035238" w:rsidR="00087700" w:rsidRPr="00087700" w:rsidRDefault="00087700" w:rsidP="00087700">
            <w:pPr>
              <w:rPr>
                <w:rFonts w:ascii="Arial" w:hAnsi="Arial"/>
                <w:b/>
                <w:sz w:val="22"/>
                <w:szCs w:val="22"/>
              </w:rPr>
            </w:pPr>
            <w:r w:rsidRPr="00087700">
              <w:rPr>
                <w:rFonts w:ascii="Arial" w:hAnsi="Arial"/>
                <w:sz w:val="22"/>
                <w:szCs w:val="22"/>
              </w:rPr>
              <w:t xml:space="preserve">Junction of </w:t>
            </w:r>
            <w:proofErr w:type="spellStart"/>
            <w:r w:rsidRPr="00087700">
              <w:rPr>
                <w:rFonts w:ascii="Arial" w:hAnsi="Arial"/>
                <w:sz w:val="22"/>
                <w:szCs w:val="22"/>
              </w:rPr>
              <w:t>Highridge</w:t>
            </w:r>
            <w:proofErr w:type="spellEnd"/>
            <w:r w:rsidRPr="00087700">
              <w:rPr>
                <w:rFonts w:ascii="Arial" w:hAnsi="Arial"/>
                <w:sz w:val="22"/>
                <w:szCs w:val="22"/>
              </w:rPr>
              <w:t xml:space="preserve"> Road with Dundry Lane</w:t>
            </w:r>
          </w:p>
        </w:tc>
        <w:tc>
          <w:tcPr>
            <w:tcW w:w="2410" w:type="dxa"/>
            <w:vAlign w:val="center"/>
          </w:tcPr>
          <w:p w14:paraId="257331A0" w14:textId="57761944" w:rsidR="00087700" w:rsidRPr="00087700" w:rsidRDefault="00087700" w:rsidP="00087700">
            <w:pPr>
              <w:rPr>
                <w:rFonts w:ascii="Arial" w:hAnsi="Arial"/>
                <w:sz w:val="22"/>
                <w:szCs w:val="22"/>
              </w:rPr>
            </w:pPr>
            <w:r w:rsidRPr="00087700">
              <w:rPr>
                <w:rFonts w:ascii="Arial" w:hAnsi="Arial"/>
                <w:sz w:val="22"/>
                <w:szCs w:val="22"/>
              </w:rPr>
              <w:t xml:space="preserve">Sharp left hand corner, oncoming traffic has priority. </w:t>
            </w:r>
          </w:p>
        </w:tc>
        <w:tc>
          <w:tcPr>
            <w:tcW w:w="1701" w:type="dxa"/>
            <w:vAlign w:val="center"/>
          </w:tcPr>
          <w:p w14:paraId="3C30C535" w14:textId="68B42742" w:rsidR="00087700" w:rsidRPr="00087700" w:rsidRDefault="00087700" w:rsidP="000877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87700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2799" w:type="dxa"/>
            <w:vAlign w:val="center"/>
          </w:tcPr>
          <w:p w14:paraId="443CF041" w14:textId="6252FBD8" w:rsidR="00087700" w:rsidRPr="00087700" w:rsidRDefault="00087700" w:rsidP="00087700">
            <w:pPr>
              <w:rPr>
                <w:rFonts w:ascii="Arial" w:hAnsi="Arial"/>
                <w:sz w:val="22"/>
                <w:szCs w:val="22"/>
              </w:rPr>
            </w:pPr>
            <w:r w:rsidRPr="00087700">
              <w:rPr>
                <w:rFonts w:ascii="Arial" w:hAnsi="Arial"/>
                <w:sz w:val="22"/>
                <w:szCs w:val="22"/>
              </w:rPr>
              <w:t>Cycle Event warning sign to warn oncoming traffic.</w:t>
            </w:r>
          </w:p>
        </w:tc>
      </w:tr>
      <w:tr w:rsidR="00087700" w14:paraId="72A23B8C" w14:textId="77777777" w:rsidTr="00087700">
        <w:trPr>
          <w:cantSplit/>
          <w:trHeight w:hRule="exact" w:val="1546"/>
          <w:jc w:val="center"/>
        </w:trPr>
        <w:tc>
          <w:tcPr>
            <w:tcW w:w="1101" w:type="dxa"/>
          </w:tcPr>
          <w:p w14:paraId="707D1F83" w14:textId="57AE9715" w:rsidR="00087700" w:rsidRPr="00087700" w:rsidRDefault="00087700" w:rsidP="00087700">
            <w:pPr>
              <w:rPr>
                <w:rFonts w:ascii="Arial" w:hAnsi="Arial"/>
                <w:sz w:val="22"/>
                <w:szCs w:val="22"/>
              </w:rPr>
            </w:pPr>
          </w:p>
          <w:p w14:paraId="1B84FB6F" w14:textId="77777777" w:rsidR="00087700" w:rsidRDefault="00087700" w:rsidP="000877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1.03</w:t>
            </w:r>
          </w:p>
          <w:p w14:paraId="0B2EE47F" w14:textId="5FE6DE96" w:rsidR="00087700" w:rsidRPr="00087700" w:rsidRDefault="00087700" w:rsidP="000877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miles</w:t>
            </w:r>
          </w:p>
        </w:tc>
        <w:tc>
          <w:tcPr>
            <w:tcW w:w="2409" w:type="dxa"/>
            <w:vAlign w:val="center"/>
          </w:tcPr>
          <w:p w14:paraId="2DEE4792" w14:textId="24948AC0" w:rsidR="00087700" w:rsidRPr="00087700" w:rsidRDefault="00087700" w:rsidP="00087700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7700">
              <w:rPr>
                <w:rFonts w:ascii="Arial" w:hAnsi="Arial"/>
                <w:sz w:val="22"/>
                <w:szCs w:val="22"/>
              </w:rPr>
              <w:t>Area of Finish</w:t>
            </w:r>
          </w:p>
        </w:tc>
        <w:tc>
          <w:tcPr>
            <w:tcW w:w="2410" w:type="dxa"/>
            <w:vAlign w:val="center"/>
          </w:tcPr>
          <w:p w14:paraId="0F53B829" w14:textId="36F61827" w:rsidR="00087700" w:rsidRPr="00087700" w:rsidRDefault="00087700" w:rsidP="00087700">
            <w:pPr>
              <w:rPr>
                <w:rFonts w:ascii="Arial" w:hAnsi="Arial"/>
                <w:sz w:val="22"/>
                <w:szCs w:val="22"/>
              </w:rPr>
            </w:pPr>
            <w:r w:rsidRPr="00087700">
              <w:rPr>
                <w:rFonts w:ascii="Arial" w:hAnsi="Arial"/>
                <w:sz w:val="22"/>
                <w:szCs w:val="22"/>
              </w:rPr>
              <w:t>Competitors waiting</w:t>
            </w:r>
            <w:r>
              <w:rPr>
                <w:rFonts w:ascii="Arial" w:hAnsi="Arial"/>
                <w:sz w:val="22"/>
                <w:szCs w:val="22"/>
              </w:rPr>
              <w:t>, road width is limited</w:t>
            </w:r>
            <w:r w:rsidRPr="0008770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74B9A384" w14:textId="7DA9A32E" w:rsidR="00087700" w:rsidRPr="00087700" w:rsidRDefault="00087700" w:rsidP="000877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87700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2799" w:type="dxa"/>
            <w:vAlign w:val="center"/>
          </w:tcPr>
          <w:p w14:paraId="24C347B2" w14:textId="320CB61B" w:rsidR="00087700" w:rsidRPr="00087700" w:rsidRDefault="00087700" w:rsidP="00087700">
            <w:pPr>
              <w:rPr>
                <w:rFonts w:ascii="Arial" w:hAnsi="Arial"/>
                <w:sz w:val="22"/>
                <w:szCs w:val="22"/>
              </w:rPr>
            </w:pPr>
            <w:r w:rsidRPr="00087700">
              <w:rPr>
                <w:rFonts w:ascii="Arial" w:hAnsi="Arial"/>
                <w:sz w:val="22"/>
                <w:szCs w:val="22"/>
              </w:rPr>
              <w:t>Cycle Event warning sign to warn oncoming traffic.</w:t>
            </w:r>
          </w:p>
        </w:tc>
      </w:tr>
      <w:tr w:rsidR="00087700" w14:paraId="563DB793" w14:textId="77777777" w:rsidTr="00087700">
        <w:trPr>
          <w:cantSplit/>
          <w:trHeight w:hRule="exact" w:val="640"/>
          <w:jc w:val="center"/>
        </w:trPr>
        <w:tc>
          <w:tcPr>
            <w:tcW w:w="1101" w:type="dxa"/>
          </w:tcPr>
          <w:p w14:paraId="4B1A9645" w14:textId="075484FB" w:rsidR="00087700" w:rsidRDefault="00087700" w:rsidP="000877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673AACA" w14:textId="6B0A5B11" w:rsidR="00087700" w:rsidRDefault="00087700" w:rsidP="0008770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</w:tcPr>
          <w:p w14:paraId="0BCBB7F6" w14:textId="02E6CB1A" w:rsidR="00087700" w:rsidRDefault="00087700" w:rsidP="000877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CF2134" w14:textId="3798FB20" w:rsidR="00087700" w:rsidRDefault="00087700" w:rsidP="0008770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86F708E" w14:textId="77777777" w:rsidR="00087700" w:rsidRDefault="00087700" w:rsidP="0008770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7700" w14:paraId="601F3592" w14:textId="77777777" w:rsidTr="00087700">
        <w:trPr>
          <w:cantSplit/>
          <w:trHeight w:hRule="exact" w:val="441"/>
          <w:jc w:val="center"/>
        </w:trPr>
        <w:tc>
          <w:tcPr>
            <w:tcW w:w="1101" w:type="dxa"/>
          </w:tcPr>
          <w:p w14:paraId="7469C02D" w14:textId="6FCC026D" w:rsidR="00087700" w:rsidRPr="00DB7FE3" w:rsidRDefault="00087700" w:rsidP="000877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56CE576" w14:textId="15802304" w:rsidR="00087700" w:rsidRPr="00D5614C" w:rsidRDefault="00087700" w:rsidP="00087700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0AF5807F" w14:textId="03C0C632" w:rsidR="00087700" w:rsidRPr="00DB7FE3" w:rsidRDefault="00087700" w:rsidP="000877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F39919" w14:textId="178FD3E5" w:rsidR="00087700" w:rsidRPr="00DB7FE3" w:rsidRDefault="00087700" w:rsidP="0008770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54627494" w14:textId="507E47A8" w:rsidR="00087700" w:rsidRPr="00DB7FE3" w:rsidRDefault="00087700" w:rsidP="0008770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7700" w14:paraId="30EEAFCA" w14:textId="77777777" w:rsidTr="00087700">
        <w:trPr>
          <w:cantSplit/>
          <w:trHeight w:hRule="exact" w:val="423"/>
          <w:jc w:val="center"/>
        </w:trPr>
        <w:tc>
          <w:tcPr>
            <w:tcW w:w="1101" w:type="dxa"/>
          </w:tcPr>
          <w:p w14:paraId="2BB93C08" w14:textId="2997C98D" w:rsidR="00087700" w:rsidRPr="00DB7FE3" w:rsidRDefault="00087700" w:rsidP="000877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EC22951" w14:textId="0B99E2A0" w:rsidR="00087700" w:rsidRPr="00DB7FE3" w:rsidRDefault="00087700" w:rsidP="000877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5F42B0C" w14:textId="12741D6F" w:rsidR="00087700" w:rsidRPr="00DB7FE3" w:rsidRDefault="00087700" w:rsidP="000877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F75CF2" w14:textId="0B74BAF0" w:rsidR="00087700" w:rsidRPr="00DB7FE3" w:rsidRDefault="00087700" w:rsidP="0008770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42B6C83" w14:textId="183451E8" w:rsidR="00087700" w:rsidRPr="00DB7FE3" w:rsidRDefault="00087700" w:rsidP="00087700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4CE36102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>:</w:t>
      </w:r>
      <w:r w:rsidR="002F0C34" w:rsidRPr="00087700">
        <w:rPr>
          <w:rFonts w:ascii="Arial" w:hAnsi="Arial" w:cs="Arial"/>
        </w:rPr>
        <w:t xml:space="preserve"> </w:t>
      </w:r>
      <w:r w:rsidR="00087700" w:rsidRPr="00087700">
        <w:rPr>
          <w:rFonts w:ascii="Arial" w:hAnsi="Arial" w:cs="Arial"/>
        </w:rPr>
        <w:t>September 2016, updated December 2018</w:t>
      </w: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9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171CD" w14:textId="77777777" w:rsidR="00482BB7" w:rsidRDefault="00482BB7">
      <w:r>
        <w:separator/>
      </w:r>
    </w:p>
  </w:endnote>
  <w:endnote w:type="continuationSeparator" w:id="0">
    <w:p w14:paraId="3265DA75" w14:textId="77777777" w:rsidR="00482BB7" w:rsidRDefault="0048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F774E" w14:textId="58F1088E" w:rsidR="005C4520" w:rsidRDefault="005C4520" w:rsidP="008A73C1">
    <w:pPr>
      <w:pStyle w:val="BodyText"/>
      <w:jc w:val="cent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4F0EB5A3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36AAF" w14:textId="77777777" w:rsidR="00482BB7" w:rsidRDefault="00482BB7">
      <w:r>
        <w:separator/>
      </w:r>
    </w:p>
  </w:footnote>
  <w:footnote w:type="continuationSeparator" w:id="0">
    <w:p w14:paraId="487BD849" w14:textId="77777777" w:rsidR="00482BB7" w:rsidRDefault="0048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F"/>
    <w:rsid w:val="000048A6"/>
    <w:rsid w:val="00036AA1"/>
    <w:rsid w:val="0005510B"/>
    <w:rsid w:val="00064047"/>
    <w:rsid w:val="00084A09"/>
    <w:rsid w:val="00087700"/>
    <w:rsid w:val="000A4B66"/>
    <w:rsid w:val="000E5A13"/>
    <w:rsid w:val="00190651"/>
    <w:rsid w:val="001A7958"/>
    <w:rsid w:val="001F0BFF"/>
    <w:rsid w:val="001F798C"/>
    <w:rsid w:val="00294584"/>
    <w:rsid w:val="002F0C34"/>
    <w:rsid w:val="00317AE6"/>
    <w:rsid w:val="003314EE"/>
    <w:rsid w:val="00335625"/>
    <w:rsid w:val="00340828"/>
    <w:rsid w:val="00340891"/>
    <w:rsid w:val="003B3B9A"/>
    <w:rsid w:val="00425F7F"/>
    <w:rsid w:val="00447C52"/>
    <w:rsid w:val="004627CB"/>
    <w:rsid w:val="00482BB7"/>
    <w:rsid w:val="004909A4"/>
    <w:rsid w:val="004A19DC"/>
    <w:rsid w:val="004D16E8"/>
    <w:rsid w:val="004E0C37"/>
    <w:rsid w:val="0050298C"/>
    <w:rsid w:val="005116C4"/>
    <w:rsid w:val="00587F27"/>
    <w:rsid w:val="00596BED"/>
    <w:rsid w:val="005C4520"/>
    <w:rsid w:val="005F5A53"/>
    <w:rsid w:val="00611417"/>
    <w:rsid w:val="00622307"/>
    <w:rsid w:val="0063208A"/>
    <w:rsid w:val="00647CA4"/>
    <w:rsid w:val="006566F1"/>
    <w:rsid w:val="00662266"/>
    <w:rsid w:val="00696599"/>
    <w:rsid w:val="0069700E"/>
    <w:rsid w:val="006A42DB"/>
    <w:rsid w:val="006A4AAD"/>
    <w:rsid w:val="006B042E"/>
    <w:rsid w:val="00741F31"/>
    <w:rsid w:val="00777D1C"/>
    <w:rsid w:val="007A46E0"/>
    <w:rsid w:val="007C0868"/>
    <w:rsid w:val="007D3F82"/>
    <w:rsid w:val="00802F93"/>
    <w:rsid w:val="00837A94"/>
    <w:rsid w:val="0088799D"/>
    <w:rsid w:val="008905FE"/>
    <w:rsid w:val="00896421"/>
    <w:rsid w:val="008A73C1"/>
    <w:rsid w:val="008F7A85"/>
    <w:rsid w:val="00911F79"/>
    <w:rsid w:val="00946E60"/>
    <w:rsid w:val="0099096B"/>
    <w:rsid w:val="00997B88"/>
    <w:rsid w:val="009E6E05"/>
    <w:rsid w:val="009F19BA"/>
    <w:rsid w:val="009F4993"/>
    <w:rsid w:val="00A20126"/>
    <w:rsid w:val="00A30E34"/>
    <w:rsid w:val="00A552E8"/>
    <w:rsid w:val="00A577CF"/>
    <w:rsid w:val="00A84390"/>
    <w:rsid w:val="00A94FA1"/>
    <w:rsid w:val="00AE12D0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70946"/>
    <w:rsid w:val="00C819AB"/>
    <w:rsid w:val="00CB62B8"/>
    <w:rsid w:val="00CD21E3"/>
    <w:rsid w:val="00CE5241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9CC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5F5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5F5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Paul Freegard</cp:lastModifiedBy>
  <cp:revision>2</cp:revision>
  <cp:lastPrinted>2012-03-16T16:10:00Z</cp:lastPrinted>
  <dcterms:created xsi:type="dcterms:W3CDTF">2019-02-27T11:41:00Z</dcterms:created>
  <dcterms:modified xsi:type="dcterms:W3CDTF">2019-02-27T11:41:00Z</dcterms:modified>
</cp:coreProperties>
</file>